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zekiel-3"/>
    <w:p>
      <w:pPr>
        <w:pStyle w:val="Heading1"/>
      </w:pPr>
      <w:r>
        <w:t xml:space="preserve">Homiletics Analysis: Ezekiel 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Ezekiel 3 divides into three distinct movements. The chapter opens with God commanding Ezekiel to eat the scroll given in the vision of chapter 2 — and Ezekiel obeys, finding it sweet as honey in his mouth (vv. 1–3). This eating is not incidental; it is the commissioning act that precedes the sending. God then addresses the challenge that awaits Ezekiel: Israel is a hard-hearted, rebellious house, and their resistance will be formidable — but God has made Ezekiel’s face harder than their faces, his forehead harder than flint, so that Ezekiel need not be dismayed (vv. 4–11). The second movement records Ezekiel’s transport to Tel Abib among the exiles, where the Spirit lifts him and brings him to the colony of deportees; Ezekiel sits among them overwhelmed for seven days (vv. 12–15). The third and governing movement (vv. 16–27) introduces the watchman commission: God appoints Ezekiel as a watchman over the house of Israel, with the solemn weight of accountability — if Ezekiel fails to warn the wicked, that person’s blood is on Ezekiel’s hands; if he warns them and they refuse, the blood is their own. The watchman framework is applied first to the wicked (vv. 18–19), then to the righteous who turn to sin (vv. 20–21). The chapter closes with God again isolating Ezekiel, binding his tongue so that he will speak only when God opens his mouth — a divine control over the messenger’s tongue that underscores the absolute sovereignty of God over prophetic speech.</w:t>
      </w:r>
    </w:p>
    <w:p>
      <w:pPr>
        <w:pStyle w:val="BodyText"/>
      </w:pPr>
      <w:r>
        <w:rPr>
          <w:b/>
          <w:bCs/>
        </w:rPr>
        <w:t xml:space="preserve">This Text — Intent</w:t>
      </w:r>
    </w:p>
    <w:p>
      <w:pPr>
        <w:pStyle w:val="BodyText"/>
      </w:pPr>
      <w:r>
        <w:t xml:space="preserve">God is confronting Ezekiel — and through Ezekiel every preacher, teacher, and appointed watchman — with the irreducible weight of the prophetic calling. The passage is not primarily instructional; it is moral and volitional. God is seeking to produce in Ezekiel (and in every reader who stands in any watchman role) a sober reckoning with what it means to be entrusted with God’s Word for people who may refuse it. The intent is not merely to describe the watchman’s duty but to make Ezekiel — and every reader — feel the full weight of that accountability before God, and to move the one called to speak toward faithful, fearless speech, regardless of response. The passage simultaneously assures (I have hardened your face; the scroll is sweet) and sobers (blood on your hands if you are silent). The combined effect is a watchman who neither despairs at resistance nor retreats into silence.</w:t>
      </w:r>
    </w:p>
    <w:p>
      <w:r>
        <w:pict>
          <v:rect style="width:0;height:1.5pt" o:hralign="center" o:hrstd="t" o:hr="t"/>
        </w:pict>
      </w:r>
    </w:p>
    <w:p>
      <w:pPr>
        <w:pStyle w:val="FirstParagraph"/>
      </w:pPr>
      <w:r>
        <w:rPr>
          <w:b/>
          <w:bCs/>
        </w:rPr>
        <w:t xml:space="preserve">Subject Sentence:</w:t>
      </w:r>
      <w:r>
        <w:t xml:space="preserve"> </w:t>
      </w:r>
      <w:r>
        <w:t xml:space="preserve">God commissions Ezekiel as watchman — accountable to speak, accountable for silence.</w:t>
      </w:r>
    </w:p>
    <w:p>
      <w:r>
        <w:pict>
          <v:rect style="width:0;height:1.5pt" o:hralign="center" o:hrstd="t" o:hr="t"/>
        </w:pict>
      </w:r>
    </w:p>
    <w:p>
      <w:pPr>
        <w:pStyle w:val="FirstParagraph"/>
      </w:pPr>
      <w:r>
        <w:rPr>
          <w:b/>
          <w:bCs/>
        </w:rPr>
        <w:t xml:space="preserve">Primary Claim:</w:t>
      </w:r>
      <w:r>
        <w:t xml:space="preserve"> </w:t>
      </w:r>
      <w:r>
        <w:t xml:space="preserve">God so entrusts His Word to appointed messengers that their silence in the face of danger becomes its own form of unfaithfulness — and He calls every watchman to speak with a hardened face and a sweet word, because the souls of the hearers are at stake.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Watchman Commission as Individual Moral Accountability (vv. 16–21)</w:t>
      </w:r>
    </w:p>
    <w:p>
      <w:pPr>
        <w:pStyle w:val="BodyText"/>
      </w:pPr>
      <w:r>
        <w:t xml:space="preserve">A significant interpretive question concerns whether the watchman passage is primarily about Ezekiel’s prophetic office (a unique, unrepeatable calling) or whether it has broader application to corporate Israel’s moral responsibility and, beyond that, to any believer’s responsibility to warn others. The Wesleyan-Arminian tradition has frequently used these verses to ground a strong doctrine of individual moral accountability and even mutual congregational responsibility — every believer is, in some sense, a watchman for others. This reading should be</w:t>
      </w:r>
      <w:r>
        <w:t xml:space="preserve"> </w:t>
      </w:r>
      <w:r>
        <w:rPr>
          <w:i/>
          <w:iCs/>
        </w:rPr>
        <w:t xml:space="preserve">acknowledged</w:t>
      </w:r>
      <w:r>
        <w:t xml:space="preserve"> </w:t>
      </w:r>
      <w:r>
        <w:t xml:space="preserve">as capturing something real: the text does use the language of blood-guilt in a way that has moral application beyond Ezekiel’s unique office, and Ezekiel 33 (where the watchman commission recurs) makes the broader application to the whole people explicit. However, this reading should be</w:t>
      </w:r>
      <w:r>
        <w:t xml:space="preserve"> </w:t>
      </w:r>
      <w:r>
        <w:rPr>
          <w:i/>
          <w:iCs/>
        </w:rPr>
        <w:t xml:space="preserve">qualified</w:t>
      </w:r>
      <w:r>
        <w:t xml:space="preserve">: the immediate referent in chapter 3 is Ezekiel’s specific prophetic office, and the accountability structure described (speaking when God opens the mouth, being silent when God binds the tongue) presupposes a prophetically commissioned messenger, not a general lay believer. The weight of blood-guilt here is covenantal-prophetic, not merely moral-relational. The Reformed reading acknowledges the analogy to all who preach and teach while resisting a flattening of Ezekiel’s unique office.</w:t>
      </w:r>
    </w:p>
    <w:p>
      <w:pPr>
        <w:pStyle w:val="BodyText"/>
      </w:pPr>
      <w:r>
        <w:rPr>
          <w:b/>
          <w:bCs/>
        </w:rPr>
        <w:t xml:space="preserve">The Eating of the Scroll (vv. 1–3) — Allegory vs. Commission</w:t>
      </w:r>
    </w:p>
    <w:p>
      <w:pPr>
        <w:pStyle w:val="BodyText"/>
      </w:pPr>
      <w:r>
        <w:t xml:space="preserve">Some interpreters, particularly in allegorical and Catholic exegetical traditions, read the eating of the scroll as a type of the eucharist or as a general principle that the preacher must first internalize the Word before proclaiming it. The internalization principle is worth</w:t>
      </w:r>
      <w:r>
        <w:t xml:space="preserve"> </w:t>
      </w:r>
      <w:r>
        <w:rPr>
          <w:i/>
          <w:iCs/>
        </w:rPr>
        <w:t xml:space="preserve">acknowledging</w:t>
      </w:r>
      <w:r>
        <w:t xml:space="preserve"> </w:t>
      </w:r>
      <w:r>
        <w:t xml:space="preserve">— there is genuine homiletical truth here: the messenger who has not eaten the Word cannot give it. However, the eucharistic typology should be</w:t>
      </w:r>
      <w:r>
        <w:t xml:space="preserve"> </w:t>
      </w:r>
      <w:r>
        <w:rPr>
          <w:i/>
          <w:iCs/>
        </w:rPr>
        <w:t xml:space="preserve">refuted</w:t>
      </w:r>
      <w:r>
        <w:t xml:space="preserve"> </w:t>
      </w:r>
      <w:r>
        <w:t xml:space="preserve">as an imposition on the text. The scroll-eating in its context is a commissioning act, not a sacramental one. The sweetness of the scroll is not the sweetness of spiritual nourishment in a general sense but the inherent character of God’s Word — even the scroll of lament and mourning (2:10) is sweet because it is the Word of the living God. The point is not Ezekiel’s experience of sweetness but the nature of the Word he now carries.</w:t>
      </w:r>
    </w:p>
    <w:p>
      <w:pPr>
        <w:pStyle w:val="BodyText"/>
      </w:pPr>
      <w:r>
        <w:rPr>
          <w:b/>
          <w:bCs/>
        </w:rPr>
        <w:t xml:space="preserve">The Binding of Ezekiel’s Tongue (vv. 26–27) — Silence as Judgment</w:t>
      </w:r>
    </w:p>
    <w:p>
      <w:pPr>
        <w:pStyle w:val="BodyText"/>
      </w:pPr>
      <w:r>
        <w:t xml:space="preserve">A recurring interpretive difficulty is what to make of God binding Ezekiel’s tongue (v. 26) and opening it only at appointed times (v. 27), in light of the immediately preceding watchman commission to speak. Some dispensational interpreters have taken this as evidence of a specific period of Ezekiel’s muteness until the fall of Jerusalem (corroborated by 24:27 and 33:22). This is largely correct and should be</w:t>
      </w:r>
      <w:r>
        <w:t xml:space="preserve"> </w:t>
      </w:r>
      <w:r>
        <w:rPr>
          <w:i/>
          <w:iCs/>
        </w:rPr>
        <w:t xml:space="preserve">acknowledged</w:t>
      </w:r>
      <w:r>
        <w:t xml:space="preserve">: the silence is not permanent but is controlled by God for specific purposes and times. The Reformed reading, following the grammatical-historical evidence, understands God’s sovereignty over Ezekiel’s speech to mean that the prophetic Word is not at the prophet’s discretion — Ezekiel cannot manufacture speech, but neither can he legitimately withhold it when God commands it. This is not a contradiction of the watchman commission but its corollary: faithful speech is speech tethered entirely to divine initiative. The watchman’s danger is not speaking too much but being found silent when God has spoken.</w:t>
      </w:r>
    </w:p>
    <w:p>
      <w:pPr>
        <w:pStyle w:val="BodyText"/>
      </w:pPr>
      <w:r>
        <w:rPr>
          <w:b/>
          <w:bCs/>
        </w:rPr>
        <w:t xml:space="preserve">The Reformed Reading</w:t>
      </w:r>
    </w:p>
    <w:p>
      <w:pPr>
        <w:pStyle w:val="BodyText"/>
      </w:pPr>
      <w:r>
        <w:t xml:space="preserve">The passage is best read as a commissioning narrative that moves from reception (eating the Word), through preparation (hardened face, strengthened spirit), to accountability (watchman commission), and finally to total divine sovereignty (God controls when the mouth opens). The governing Reformed insight is that the watchman’s faithfulness is not measured by the hearer’s response but by the fidelity of the warning. The blood-guilt framework does not mean that preachers are responsible for conversion — that is God’s work — but that they are accountable for the courage and completeness of the warning given. This is directly relevant to Reformed preaching: the preacher who mutes the hard things of the text out of pastoral sensitivity has failed the watchman test, not passed it.</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Ezekiel 33:1–9</w:t>
      </w:r>
      <w:r>
        <w:t xml:space="preserve"> </w:t>
      </w:r>
      <w:r>
        <w:t xml:space="preserve">— The watchman commission recurs here in expanded form, now applied explicitly to the whole people as well as to Ezekiel; confirms that the image has both prophetic-office specificity and broader covenantal application.</w:t>
      </w:r>
    </w:p>
    <w:p>
      <w:pPr>
        <w:pStyle w:val="Compact"/>
        <w:numPr>
          <w:ilvl w:val="0"/>
          <w:numId w:val="1001"/>
        </w:numPr>
      </w:pPr>
      <w:r>
        <w:rPr>
          <w:b/>
          <w:bCs/>
        </w:rPr>
        <w:t xml:space="preserve">Jeremiah 1:17–19</w:t>
      </w:r>
      <w:r>
        <w:t xml:space="preserve"> </w:t>
      </w:r>
      <w:r>
        <w:t xml:space="preserve">— God hardens Jeremiah’s face against the people’s resistance in nearly identical terms; establishes the pattern of prophetic fortification as a recurring commissioning element, not unique to Ezekiel.</w:t>
      </w:r>
    </w:p>
    <w:p>
      <w:pPr>
        <w:pStyle w:val="Compact"/>
        <w:numPr>
          <w:ilvl w:val="0"/>
          <w:numId w:val="1001"/>
        </w:numPr>
      </w:pPr>
      <w:r>
        <w:rPr>
          <w:b/>
          <w:bCs/>
        </w:rPr>
        <w:t xml:space="preserve">Isaiah 6:9–13</w:t>
      </w:r>
      <w:r>
        <w:t xml:space="preserve"> </w:t>
      </w:r>
      <w:r>
        <w:t xml:space="preserve">— Isaiah is commissioned knowing the people will not hear; his faithfulness is required regardless of outcome; the</w:t>
      </w:r>
      <w:r>
        <w:t xml:space="preserve"> </w:t>
      </w:r>
      <w:r>
        <w:t xml:space="preserve">“holy seed”</w:t>
      </w:r>
      <w:r>
        <w:t xml:space="preserve"> </w:t>
      </w:r>
      <w:r>
        <w:t xml:space="preserve">framing ensures that prophetic faithfulness is not nullified by rejection.</w:t>
      </w:r>
    </w:p>
    <w:p>
      <w:pPr>
        <w:pStyle w:val="Compact"/>
        <w:numPr>
          <w:ilvl w:val="0"/>
          <w:numId w:val="1001"/>
        </w:numPr>
      </w:pPr>
      <w:r>
        <w:rPr>
          <w:b/>
          <w:bCs/>
        </w:rPr>
        <w:t xml:space="preserve">Acts 20:26–27</w:t>
      </w:r>
      <w:r>
        <w:t xml:space="preserve"> </w:t>
      </w:r>
      <w:r>
        <w:t xml:space="preserve">— Paul invokes precisely the Ezekiel watchman framework when he declares himself</w:t>
      </w:r>
      <w:r>
        <w:t xml:space="preserve"> </w:t>
      </w:r>
      <w:r>
        <w:t xml:space="preserve">“innocent of the blood of all men”</w:t>
      </w:r>
      <w:r>
        <w:t xml:space="preserve"> </w:t>
      </w:r>
      <w:r>
        <w:t xml:space="preserve">because he did not shrink from declaring the whole counsel of God; the New Testament preacher inherits the watchman accountability directly.</w:t>
      </w:r>
    </w:p>
    <w:p>
      <w:pPr>
        <w:pStyle w:val="Compact"/>
        <w:numPr>
          <w:ilvl w:val="0"/>
          <w:numId w:val="1001"/>
        </w:numPr>
      </w:pPr>
      <w:r>
        <w:rPr>
          <w:b/>
          <w:bCs/>
        </w:rPr>
        <w:t xml:space="preserve">2 Timothy 4:1–5</w:t>
      </w:r>
      <w:r>
        <w:t xml:space="preserve"> </w:t>
      </w:r>
      <w:r>
        <w:t xml:space="preserve">— The charge to</w:t>
      </w:r>
      <w:r>
        <w:t xml:space="preserve"> </w:t>
      </w:r>
      <w:r>
        <w:t xml:space="preserve">“preach in season and out of season,”</w:t>
      </w:r>
      <w:r>
        <w:t xml:space="preserve"> </w:t>
      </w:r>
      <w:r>
        <w:t xml:space="preserve">including when people will not</w:t>
      </w:r>
      <w:r>
        <w:t xml:space="preserve"> </w:t>
      </w:r>
      <w:r>
        <w:t xml:space="preserve">“endure sound doctrine,”</w:t>
      </w:r>
      <w:r>
        <w:t xml:space="preserve"> </w:t>
      </w:r>
      <w:r>
        <w:t xml:space="preserve">is the New Covenant articulation of the watchman’s hardened forehead — faithfulness against hostile reception.</w:t>
      </w:r>
    </w:p>
    <w:p>
      <w:r>
        <w:pict>
          <v:rect style="width:0;height:1.5pt" o:hralign="center" o:hrstd="t" o:hr="t"/>
        </w:pict>
      </w:r>
    </w:p>
    <w:p>
      <w:pPr>
        <w:pStyle w:val="FirstParagraph"/>
      </w:pPr>
      <w:r>
        <w:rPr>
          <w:b/>
          <w:bCs/>
        </w:rPr>
        <w:t xml:space="preserve">Aim:</w:t>
      </w:r>
      <w:r>
        <w:t xml:space="preserve"> </w:t>
      </w:r>
      <w:r>
        <w:t xml:space="preserve">To confront every person entrusted with God’s Word — preacher, teacher, elder, parent — with the full moral weight of watchman accountability, and to ground that confrontation in the assurance that God equips the mouth He opens and holds guiltless the messenger who speaks faithfully.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3:1–3</w:t>
            </w:r>
          </w:p>
        </w:tc>
        <w:tc>
          <w:tcPr/>
          <w:p>
            <w:pPr>
              <w:pStyle w:val="Compact"/>
            </w:pPr>
            <w:r>
              <w:t xml:space="preserve">God commands Ezekiel to eat the scroll; Ezekiel obeys; the scroll is sweet as honey</w:t>
            </w:r>
          </w:p>
        </w:tc>
        <w:tc>
          <w:tcPr/>
          <w:p>
            <w:pPr>
              <w:pStyle w:val="Compact"/>
            </w:pPr>
            <w:r>
              <w:t xml:space="preserve">Eating = internalization and commissioning; sweetness is the character of God’s Word even when its content is lament</w:t>
            </w:r>
          </w:p>
        </w:tc>
      </w:tr>
      <w:tr>
        <w:tc>
          <w:tcPr/>
          <w:p>
            <w:pPr>
              <w:pStyle w:val="Compact"/>
            </w:pPr>
            <w:r>
              <w:t xml:space="preserve">3:4–7</w:t>
            </w:r>
          </w:p>
        </w:tc>
        <w:tc>
          <w:tcPr/>
          <w:p>
            <w:pPr>
              <w:pStyle w:val="Compact"/>
            </w:pPr>
            <w:r>
              <w:t xml:space="preserve">God sends Ezekiel to Israel; the people are hard-hearted and stubborn — more resistant than foreign nations would be</w:t>
            </w:r>
          </w:p>
        </w:tc>
        <w:tc>
          <w:tcPr/>
          <w:p>
            <w:pPr>
              <w:pStyle w:val="Compact"/>
            </w:pPr>
            <w:r>
              <w:t xml:space="preserve">The comparative hardness of Israel relative to pagans deepens the indictment; this is covenant-unfaithfulness, not mere ignorance</w:t>
            </w:r>
          </w:p>
        </w:tc>
      </w:tr>
      <w:tr>
        <w:tc>
          <w:tcPr/>
          <w:p>
            <w:pPr>
              <w:pStyle w:val="Compact"/>
            </w:pPr>
            <w:r>
              <w:t xml:space="preserve">3:8–9</w:t>
            </w:r>
          </w:p>
        </w:tc>
        <w:tc>
          <w:tcPr/>
          <w:p>
            <w:pPr>
              <w:pStyle w:val="Compact"/>
            </w:pPr>
            <w:r>
              <w:t xml:space="preserve">God has made Ezekiel’s face hard against Israel’s faces; his forehead harder than flint;</w:t>
            </w:r>
            <w:r>
              <w:t xml:space="preserve"> </w:t>
            </w:r>
            <w:r>
              <w:t xml:space="preserve">“do not be afraid of them or be dismayed”</w:t>
            </w:r>
          </w:p>
        </w:tc>
        <w:tc>
          <w:tcPr/>
          <w:p>
            <w:pPr>
              <w:pStyle w:val="Compact"/>
            </w:pPr>
            <w:r>
              <w:t xml:space="preserve">The divine fortification is prior to and independent of Ezekiel’s natural courage; it is given, not cultivated</w:t>
            </w:r>
          </w:p>
        </w:tc>
      </w:tr>
      <w:tr>
        <w:tc>
          <w:tcPr/>
          <w:p>
            <w:pPr>
              <w:pStyle w:val="Compact"/>
            </w:pPr>
            <w:r>
              <w:t xml:space="preserve">3:10–11</w:t>
            </w:r>
          </w:p>
        </w:tc>
        <w:tc>
          <w:tcPr/>
          <w:p>
            <w:pPr>
              <w:pStyle w:val="Compact"/>
            </w:pPr>
            <w:r>
              <w:t xml:space="preserve">God instructs Ezekiel to receive all His words</w:t>
            </w:r>
            <w:r>
              <w:t xml:space="preserve"> </w:t>
            </w:r>
            <w:r>
              <w:t xml:space="preserve">“in your heart and hear with your ears,”</w:t>
            </w:r>
            <w:r>
              <w:t xml:space="preserve"> </w:t>
            </w:r>
            <w:r>
              <w:t xml:space="preserve">then go to the exiles and speak</w:t>
            </w:r>
          </w:p>
        </w:tc>
        <w:tc>
          <w:tcPr/>
          <w:p>
            <w:pPr>
              <w:pStyle w:val="Compact"/>
            </w:pPr>
            <w:r>
              <w:t xml:space="preserve">Internal reception precedes external declaration; the command is to both hear and go</w:t>
            </w:r>
          </w:p>
        </w:tc>
      </w:tr>
      <w:tr>
        <w:tc>
          <w:tcPr/>
          <w:p>
            <w:pPr>
              <w:pStyle w:val="Compact"/>
            </w:pPr>
            <w:r>
              <w:t xml:space="preserve">3:12–15</w:t>
            </w:r>
          </w:p>
        </w:tc>
        <w:tc>
          <w:tcPr/>
          <w:p>
            <w:pPr>
              <w:pStyle w:val="Compact"/>
            </w:pPr>
            <w:r>
              <w:t xml:space="preserve">The Spirit lifts Ezekiel; transported to Tel Abib among the exiles; Ezekiel sits overwhelmed among them for seven days</w:t>
            </w:r>
          </w:p>
        </w:tc>
        <w:tc>
          <w:tcPr/>
          <w:p>
            <w:pPr>
              <w:pStyle w:val="Compact"/>
            </w:pPr>
            <w:r>
              <w:t xml:space="preserve">The seven days of silence/sitting among the people mirrors a mourning or priestly consecration period; identifies Ezekiel with the exiles before he confronts them</w:t>
            </w:r>
          </w:p>
        </w:tc>
      </w:tr>
      <w:tr>
        <w:tc>
          <w:tcPr/>
          <w:p>
            <w:pPr>
              <w:pStyle w:val="Compact"/>
            </w:pPr>
            <w:r>
              <w:t xml:space="preserve">3:16–17</w:t>
            </w:r>
          </w:p>
        </w:tc>
        <w:tc>
          <w:tcPr/>
          <w:p>
            <w:pPr>
              <w:pStyle w:val="Compact"/>
            </w:pPr>
            <w:r>
              <w:t xml:space="preserve">At the end of seven days, God formally appoints Ezekiel as watchman over the house of Israel</w:t>
            </w:r>
          </w:p>
        </w:tc>
        <w:tc>
          <w:tcPr/>
          <w:p>
            <w:pPr>
              <w:pStyle w:val="Compact"/>
            </w:pPr>
            <w:r>
              <w:t xml:space="preserve">The watchman image is from military and city-defense contexts; the stakes are life and death</w:t>
            </w:r>
          </w:p>
        </w:tc>
      </w:tr>
      <w:tr>
        <w:tc>
          <w:tcPr/>
          <w:p>
            <w:pPr>
              <w:pStyle w:val="Compact"/>
            </w:pPr>
            <w:r>
              <w:t xml:space="preserve">3:18–19</w:t>
            </w:r>
          </w:p>
        </w:tc>
        <w:tc>
          <w:tcPr/>
          <w:p>
            <w:pPr>
              <w:pStyle w:val="Compact"/>
            </w:pPr>
            <w:r>
              <w:t xml:space="preserve">If Ezekiel fails to warn the wicked, the wicked man’s blood is on Ezekiel’s hands; if he warns and the man refuses, the man’s blood is his own</w:t>
            </w:r>
          </w:p>
        </w:tc>
        <w:tc>
          <w:tcPr/>
          <w:p>
            <w:pPr>
              <w:pStyle w:val="Compact"/>
            </w:pPr>
            <w:r>
              <w:t xml:space="preserve">The blood-guilt framework: silence = complicity; faithful warning = discharge of duty regardless of response</w:t>
            </w:r>
          </w:p>
        </w:tc>
      </w:tr>
      <w:tr>
        <w:tc>
          <w:tcPr/>
          <w:p>
            <w:pPr>
              <w:pStyle w:val="Compact"/>
            </w:pPr>
            <w:r>
              <w:t xml:space="preserve">3:20–21</w:t>
            </w:r>
          </w:p>
        </w:tc>
        <w:tc>
          <w:tcPr/>
          <w:p>
            <w:pPr>
              <w:pStyle w:val="Compact"/>
            </w:pPr>
            <w:r>
              <w:t xml:space="preserve">The same accountability applies when a righteous man turns to sin: warn him, or bear his blood; warn him and he turns — Ezekiel has saved his soul</w:t>
            </w:r>
          </w:p>
        </w:tc>
        <w:tc>
          <w:tcPr/>
          <w:p>
            <w:pPr>
              <w:pStyle w:val="Compact"/>
            </w:pPr>
            <w:r>
              <w:t xml:space="preserve">The watchman duty extends to the backsliding righteous, not only to the overtly wicked</w:t>
            </w:r>
          </w:p>
        </w:tc>
      </w:tr>
      <w:tr>
        <w:tc>
          <w:tcPr/>
          <w:p>
            <w:pPr>
              <w:pStyle w:val="Compact"/>
            </w:pPr>
            <w:r>
              <w:t xml:space="preserve">3:22–24</w:t>
            </w:r>
          </w:p>
        </w:tc>
        <w:tc>
          <w:tcPr/>
          <w:p>
            <w:pPr>
              <w:pStyle w:val="Compact"/>
            </w:pPr>
            <w:r>
              <w:t xml:space="preserve">God commands Ezekiel to go to the valley; the glory of the LORD appears; Ezekiel falls face down; the Spirit enters him and sets him on his feet</w:t>
            </w:r>
          </w:p>
        </w:tc>
        <w:tc>
          <w:tcPr/>
          <w:p>
            <w:pPr>
              <w:pStyle w:val="Compact"/>
            </w:pPr>
            <w:r>
              <w:t xml:space="preserve">The encounter with the glory precedes the commission to go; God speaks from within the encounter</w:t>
            </w:r>
          </w:p>
        </w:tc>
      </w:tr>
      <w:tr>
        <w:tc>
          <w:tcPr/>
          <w:p>
            <w:pPr>
              <w:pStyle w:val="Compact"/>
            </w:pPr>
            <w:r>
              <w:t xml:space="preserve">3:25–27</w:t>
            </w:r>
          </w:p>
        </w:tc>
        <w:tc>
          <w:tcPr/>
          <w:p>
            <w:pPr>
              <w:pStyle w:val="Compact"/>
            </w:pPr>
            <w:r>
              <w:t xml:space="preserve">God tells Ezekiel that cords will be placed on him, confining him; his tongue will be bound; he will only speak when God opens his mouth</w:t>
            </w:r>
          </w:p>
        </w:tc>
        <w:tc>
          <w:tcPr/>
          <w:p>
            <w:pPr>
              <w:pStyle w:val="Compact"/>
            </w:pPr>
            <w:r>
              <w:t xml:space="preserve">Divine sovereignty over the prophetic tongue: the watchman cannot initiate speech; he can only speak when God opens his mouth — but when God does, he must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3:1–11</w:t>
            </w:r>
          </w:p>
        </w:tc>
        <w:tc>
          <w:tcPr/>
          <w:p>
            <w:pPr>
              <w:pStyle w:val="Compact"/>
            </w:pPr>
            <w:r>
              <w:t xml:space="preserve">The Commissioning: Eating the Word, Hardened for the Task</w:t>
            </w:r>
          </w:p>
        </w:tc>
      </w:tr>
      <w:tr>
        <w:tc>
          <w:tcPr/>
          <w:p>
            <w:pPr>
              <w:pStyle w:val="Compact"/>
            </w:pPr>
            <w:r>
              <w:t xml:space="preserve">2</w:t>
            </w:r>
          </w:p>
        </w:tc>
        <w:tc>
          <w:tcPr/>
          <w:p>
            <w:pPr>
              <w:pStyle w:val="Compact"/>
            </w:pPr>
            <w:r>
              <w:t xml:space="preserve">3:12–15</w:t>
            </w:r>
          </w:p>
        </w:tc>
        <w:tc>
          <w:tcPr/>
          <w:p>
            <w:pPr>
              <w:pStyle w:val="Compact"/>
            </w:pPr>
            <w:r>
              <w:t xml:space="preserve">The Transport: Sitting Among the Exiles</w:t>
            </w:r>
          </w:p>
        </w:tc>
      </w:tr>
      <w:tr>
        <w:tc>
          <w:tcPr/>
          <w:p>
            <w:pPr>
              <w:pStyle w:val="Compact"/>
            </w:pPr>
            <w:r>
              <w:t xml:space="preserve">3</w:t>
            </w:r>
          </w:p>
        </w:tc>
        <w:tc>
          <w:tcPr/>
          <w:p>
            <w:pPr>
              <w:pStyle w:val="Compact"/>
            </w:pPr>
            <w:r>
              <w:t xml:space="preserve">3:16–21</w:t>
            </w:r>
          </w:p>
        </w:tc>
        <w:tc>
          <w:tcPr/>
          <w:p>
            <w:pPr>
              <w:pStyle w:val="Compact"/>
            </w:pPr>
            <w:r>
              <w:t xml:space="preserve">The Watchman Charge: Accountability for Warning and Silence</w:t>
            </w:r>
          </w:p>
        </w:tc>
      </w:tr>
      <w:tr>
        <w:tc>
          <w:tcPr/>
          <w:p>
            <w:pPr>
              <w:pStyle w:val="Compact"/>
            </w:pPr>
            <w:r>
              <w:t xml:space="preserve">4</w:t>
            </w:r>
          </w:p>
        </w:tc>
        <w:tc>
          <w:tcPr/>
          <w:p>
            <w:pPr>
              <w:pStyle w:val="Compact"/>
            </w:pPr>
            <w:r>
              <w:t xml:space="preserve">3:22–27</w:t>
            </w:r>
          </w:p>
        </w:tc>
        <w:tc>
          <w:tcPr/>
          <w:p>
            <w:pPr>
              <w:pStyle w:val="Compact"/>
            </w:pPr>
            <w:r>
              <w:t xml:space="preserve">The Glory and the Bound Tongue: God Governs the Watchman’s Speech</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commissions Ezekiel as watchman — accountable to speak, accountable for silence.</w:t>
      </w:r>
    </w:p>
    <w:p>
      <w:pPr>
        <w:pStyle w:val="BodyText"/>
      </w:pPr>
      <w:r>
        <w:rPr>
          <w:b/>
          <w:bCs/>
        </w:rPr>
        <w:t xml:space="preserve">Primary Claim:</w:t>
      </w:r>
      <w:r>
        <w:t xml:space="preserve"> </w:t>
      </w:r>
      <w:r>
        <w:t xml:space="preserve">God so entrusts His Word to appointed messengers that their silence in the face of danger becomes its own form of unfaithfulness — and He calls every watchman to speak with a hardened face and a sweet word, because the souls of the hearers are at stake.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Reframe the relationship between faithful speaking and visible results.</w:t>
      </w:r>
      <w:r>
        <w:t xml:space="preserve"> </w:t>
      </w:r>
      <w:r>
        <w:t xml:space="preserve">The watchman framework in Ezekiel 3 systematically decouples faithfulness from outcome. If the wicked man is warned and refuses, his blood is his own — the watchman is discharged. If the wicked man is not warned and dies in his iniquity, the blood is on the watchman’s hands. The measuring line of faithfulness is not</w:t>
      </w:r>
      <w:r>
        <w:t xml:space="preserve"> </w:t>
      </w:r>
      <w:r>
        <w:t xml:space="preserve">“did they respond?”</w:t>
      </w:r>
      <w:r>
        <w:t xml:space="preserve"> </w:t>
      </w:r>
      <w:r>
        <w:t xml:space="preserve">but</w:t>
      </w:r>
      <w:r>
        <w:t xml:space="preserve"> </w:t>
      </w:r>
      <w:r>
        <w:t xml:space="preserve">“did you warn?”</w:t>
      </w:r>
      <w:r>
        <w:t xml:space="preserve"> </w:t>
      </w:r>
      <w:r>
        <w:t xml:space="preserve">Every preacher, teacher, parent, or elder who has measured their ministry by visible response and been crushed by apparent failure must allow this text to reframe the entire calculus: God holds the watchman accountable for the warning, not for the result. This is not pastoral comfort for laziness — it is the only framework that makes sustained faithful ministry sustainable.</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Let the sweetness of the scroll reshape your affections toward the Word you have been given to speak.</w:t>
      </w:r>
      <w:r>
        <w:t xml:space="preserve"> </w:t>
      </w:r>
      <w:r>
        <w:t xml:space="preserve">The scroll Ezekiel is commanded to eat contains lamentation, mourning, and woe — and it is sweet as honey in his mouth (v. 3). The point is not that bad news tastes good but that the Word of the living God — including its hardest contents — is sweet because of whose word it is. Every person entrusted with Scripture for others (preachers, teachers, small group leaders, parents speaking to children) is invited to examine whether they actually taste the sweetness of the hard texts, or whether they approach them as unpleasant obligations. If the Word has become tasteless to the one entrusted with it, the problem is not with the Word. Return to the scroll. Eat it again. The God who gave it is the reason it is sweet.</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Identify where you have been a silent watchman and go back and speak.</w:t>
      </w:r>
      <w:r>
        <w:t xml:space="preserve"> </w:t>
      </w:r>
      <w:r>
        <w:t xml:space="preserve">The blood-guilt framework is not theoretical. It names a specific failure mode: the watchman who sees the sword coming and does not blow the trumpet. Many who preach, teach, lead, or parent can identify specific people and specific conversations where the sword was visible and the trumpet stayed silent — out of conflict-avoidance, fear of rejection, or misplaced pastoral gentleness. Ezekiel 3 will not allow that silence to be reframed as wisdom or tact. Name it as what it is — a failure of the watchman duty — and, where the relationship still exists and the warning is still needed, go back and give it. The blood-guilt framework is resolved not by guilt management but by faithful speech.</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Receive the hardened-forehead promise as prior to and independent of your natural courage.</w:t>
      </w:r>
      <w:r>
        <w:t xml:space="preserve"> </w:t>
      </w:r>
      <w:r>
        <w:t xml:space="preserve">God does not tell Ezekiel to summon courage before the hard audience — He tells Ezekiel that He has already made his face harder than the faces against him and his forehead harder than flint (vv. 8–9). The divine fortification is not a response to Ezekiel’s bravery; it is given before Ezekiel goes. This is critical for every person who knows they are called to speak a hard word and has been waiting to feel courageous enough to do it. The courage is not generated internally — it is given in the commission. The question is not</w:t>
      </w:r>
      <w:r>
        <w:t xml:space="preserve"> </w:t>
      </w:r>
      <w:r>
        <w:t xml:space="preserve">“do I feel ready?”</w:t>
      </w:r>
      <w:r>
        <w:t xml:space="preserve"> </w:t>
      </w:r>
      <w:r>
        <w:t xml:space="preserve">but</w:t>
      </w:r>
      <w:r>
        <w:t xml:space="preserve"> </w:t>
      </w:r>
      <w:r>
        <w:t xml:space="preserve">“has God opened my mouth?”</w:t>
      </w:r>
      <w:r>
        <w:t xml:space="preserve"> </w:t>
      </w:r>
      <w:r>
        <w:t xml:space="preserve">If the Word has been given and the person is before you, the fortification has already been provided. Go.</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Rest in the God who governs the watchman’s tongue rather than striving to manufacture prophetic effect.</w:t>
      </w:r>
      <w:r>
        <w:t xml:space="preserve"> </w:t>
      </w:r>
      <w:r>
        <w:t xml:space="preserve">The bound tongue of verses 26–27 is not a punishment but a sovereignty marker: God controls when the mouth opens, and when He opens it, He controls what is said. This should produce in the faithful messenger not anxiety about whether they are speaking at the right time in the right way, but a deep restfulness in the sovereignty of the God who commissioned them. The watchman does not need to perform prophetically — he needs to be available when God opens the mouth. The frenetic preacher who manufactures urgency, manipulates response, or uses the pulpit for self-display has missed this: the mouth is God’s, the Word is God’s, the effect is God’s. The watchman’s job is to be a clear instrument, not a compelling performer.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Ezekiel 3 teaches that God’s Word, even in its hardest and most judgmental forms, is inherently sweet — not because of its content in isolation, but because it is the Word of the living God, and the God who speaks it is worthy of being heard. The passage also teaches a robust theology of prophetic accountability: God takes the communication of His Word with absolute seriousness, to the point of assigning blood-guilt to the messenger who is entrusted with a warning and withholds it. This implies both the high dignity of the prophetic and preaching office (you are a watchman; lives depend on what you say) and its severe accountability (your silence is not neutral; it is a form of unfaithfulness). Finally, the passage teaches that God actively fortifies those He commissions: the hardened forehead is not human achievement but divine provision, given before the opposition is encountered, ensuring that the impossibility of the task does not negate the certainty of the calling.</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Ezekiel 3 is directly relevant to the Reformed understanding of the preaching office and its authority. The watchman framework provides the biblical grounding for the Reformed insistence that the preacher is not an entertainer, a motivator, or a facilitator — he is a herald of the King whose primary accountability is to the God who commissioned him, not to the congregation that receives him. The blood-guilt language anticipates Paul’s invocation of the same framework in Acts 20, and both passages together ground the Reformed doctrine that the preacher who</w:t>
      </w:r>
      <w:r>
        <w:t xml:space="preserve"> </w:t>
      </w:r>
      <w:r>
        <w:t xml:space="preserve">“shrinks from declaring the whole counsel of God”</w:t>
      </w:r>
      <w:r>
        <w:t xml:space="preserve"> </w:t>
      </w:r>
      <w:r>
        <w:t xml:space="preserve">(Acts 20:27) has not merely failed professionally but has failed covenantally. The binding of the tongue also displays the Reformed conviction regarding the sovereignty of God over His own Word: preaching is not a human performance but a divinely initiated and governed speech-act, in which the Spirit’s opening of the mouth precedes and governs the preacher’s speaking. This is why the Reformed tradition has insisted on expository preaching tethered to the text — the watchman does not choose his own message; he delivers what has been given.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made you a watchman. He has given you the Word — and it is sweeter than you yet know, even in its hardest pages. He has hardened your face against every face that will push back. He will open your mouth at the appointed time. But if you see the sword coming and stay silent, the blood is on your hands — not because you failed to convert anyone, but because you failed to warn. Faithful speech is the whole duty of the watchman. Speak what God has given. Let the results belong to Him.</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watchman commission to a general principle of mutual accountability among all Christians.</w:t>
      </w:r>
      <w:r>
        <w:t xml:space="preserve"> </w:t>
      </w:r>
      <w:r>
        <w:t xml:space="preserve">The immediate referent of Ezekiel 3 is Ezekiel’s specific prophetic office, and the blood-guilt structure presupposes a commissioned messenger with covenantal authority. While the principle has genuine analogical application to preachers, teachers, elders, and parents, flattening it into a general</w:t>
      </w:r>
      <w:r>
        <w:t xml:space="preserve"> </w:t>
      </w:r>
      <w:r>
        <w:t xml:space="preserve">“we should all hold each other accountable”</w:t>
      </w:r>
      <w:r>
        <w:t xml:space="preserve"> </w:t>
      </w:r>
      <w:r>
        <w:t xml:space="preserve">application misses the weight of the office Ezekiel bears and trivializes the blood-guilt language. Apply it analogically to those in teaching and leadership roles; resist making it a general Christian duty for all believers without careful qualification.</w:t>
      </w:r>
    </w:p>
    <w:p>
      <w:pPr>
        <w:numPr>
          <w:ilvl w:val="0"/>
          <w:numId w:val="1002"/>
        </w:numPr>
      </w:pPr>
      <w:r>
        <w:rPr>
          <w:b/>
          <w:bCs/>
        </w:rPr>
        <w:t xml:space="preserve">Using the scroll-eating as primarily an illustration of devotional practice.</w:t>
      </w:r>
      <w:r>
        <w:t xml:space="preserve"> </w:t>
      </w:r>
      <w:r>
        <w:t xml:space="preserve">There is a secondary application here — the preacher must internalize the Word before proclaiming it — but making this the primary point of vv. 1–3 misses the commissioning function of the act. The eating is not a spiritual discipline; it is a prophetic constitution. The sweetness is not the effect of devotional immersion but the inherent character of the divine Word. Preachers who use this passage primarily to exhort their congregation to daily Bible reading have pulled the text away from its commissioning freight.</w:t>
      </w:r>
    </w:p>
    <w:p>
      <w:pPr>
        <w:numPr>
          <w:ilvl w:val="0"/>
          <w:numId w:val="1002"/>
        </w:numPr>
      </w:pPr>
      <w:r>
        <w:rPr>
          <w:b/>
          <w:bCs/>
        </w:rPr>
        <w:t xml:space="preserve">Resolving the tension between the bound tongue (vv. 26–27) and the watchman commission (vv. 16–21) too quickly.</w:t>
      </w:r>
      <w:r>
        <w:t xml:space="preserve"> </w:t>
      </w:r>
      <w:r>
        <w:t xml:space="preserve">There is a genuine and productive tension here: God commands faithful warning and then binds Ezekiel’s tongue. Flattening this tension (by saying simply</w:t>
      </w:r>
      <w:r>
        <w:t xml:space="preserve"> </w:t>
      </w:r>
      <w:r>
        <w:t xml:space="preserve">“God controls the timing”</w:t>
      </w:r>
      <w:r>
        <w:t xml:space="preserve">) can rob the text of its most demanding feature. The text is asking the reader to hold simultaneously that faithful speech is required and that faithful speech is entirely dependent on divine opening. Preachers should sit in that tension rather than resolving it into a comfortable principle.</w:t>
      </w:r>
    </w:p>
    <w:p>
      <w:pPr>
        <w:numPr>
          <w:ilvl w:val="0"/>
          <w:numId w:val="1002"/>
        </w:numPr>
      </w:pPr>
      <w:r>
        <w:rPr>
          <w:b/>
          <w:bCs/>
        </w:rPr>
        <w:t xml:space="preserve">Preaching the hardened-forehead promise as an invitation to pastoral harshness.</w:t>
      </w:r>
      <w:r>
        <w:t xml:space="preserve"> </w:t>
      </w:r>
      <w:r>
        <w:t xml:space="preserve">The hardened forehead of vv. 8–9 is about courage before resistance, not about emotional detachment or a combative posture toward the congregation. The Ezekiel who goes with a hardened forehead also eats the Word, sits seven days overwhelmed among the exiles, and is transported by the Spirit who carries him in what feels like a reluctant commission. The passage does not portray a prophet who enjoys delivering hard news; it portrays one who is fortified for it despite its weight. Preaching the hardened forehead without the scroll-sweetness and the seven-day sitting produces a model of prophetic ministry that is courageous but cold.</w:t>
      </w:r>
    </w:p>
    <w:p>
      <w:pPr>
        <w:numPr>
          <w:ilvl w:val="0"/>
          <w:numId w:val="1002"/>
        </w:numPr>
      </w:pPr>
      <w:r>
        <w:rPr>
          <w:b/>
          <w:bCs/>
        </w:rPr>
        <w:t xml:space="preserve">Missing the connection between the glory vision (vv. 22–24) and the watchman commission.</w:t>
      </w:r>
      <w:r>
        <w:t xml:space="preserve"> </w:t>
      </w:r>
      <w:r>
        <w:t xml:space="preserve">The encounter with the glory of the LORD in the valley (v. 23) is structurally placed just before the bound-tongue commission and just after the watchman charge. It is not incidental. The prophet who is sent to speak under divine accountability is the same prophet who has fallen face down before the divine glory. Preaching that develops the watchman accountability without anchoring it in the prior and surrounding encounter with the glory of God produces a moralistic commission rather than a doxological one. The watchman speaks because he has seen the glory; the weight of his calling is proportional to the greatness of the God whose Word he carries.</w:t>
      </w:r>
    </w:p>
    <w:p>
      <w:pPr>
        <w:numPr>
          <w:ilvl w:val="0"/>
          <w:numId w:val="1002"/>
        </w:numPr>
      </w:pPr>
      <w:r>
        <w:rPr>
          <w:b/>
          <w:bCs/>
        </w:rPr>
        <w:t xml:space="preserve">Applying the blood-guilt language in ways that produce guilt-driven ministry rather than gospel-grounded faithfulness.</w:t>
      </w:r>
      <w:r>
        <w:t xml:space="preserve"> </w:t>
      </w:r>
      <w:r>
        <w:t xml:space="preserve">The text does assign a form of covenantal accountability for silence, and that accountability must not be muted. But the governing note of the passage, read in the fullness of Ezekiel’s commissioning, is that God provides what faithfulness requires — the sweetness of the Word, the hardened forehead, the opened mouth. Preaching that leaves the congregation (especially those in ministry roles) with a crushing sense of blood-guilt for past silence without also delivering the assurance that God commissions, fortifies, and governs the mouth of His messengers has told only half the text.</w:t>
      </w:r>
    </w:p>
    <w:p>
      <w:r>
        <w:pict>
          <v:rect style="width:0;height:1.5pt" o:hralign="center" o:hrstd="t" o:hr="t"/>
        </w:pict>
      </w:r>
    </w:p>
    <w:p>
      <w:pPr>
        <w:pStyle w:val="FirstParagraph"/>
      </w:pPr>
      <w:r>
        <w:rPr>
          <w:i/>
          <w:iCs/>
        </w:rPr>
        <w:t xml:space="preserve">Document: 26 Ezekiel 03.docx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2026-07-14T21:06:15Z</dcterms:created>
  <dcterms:modified xsi:type="dcterms:W3CDTF">2026-07-14T21:06:15Z</dcterms:modified>
</cp:coreProperties>
</file>

<file path=docProps/custom.xml><?xml version="1.0" encoding="utf-8"?>
<Properties xmlns="http://schemas.openxmlformats.org/officeDocument/2006/custom-properties" xmlns:vt="http://schemas.openxmlformats.org/officeDocument/2006/docPropsVTypes"/>
</file>